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ind w:hanging="2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3GPP TSG-SA3 Meeting #115-Adhoc-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  <w:t xml:space="preserve">S3-2</w:t>
      </w: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41200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 Apr to 19 Apr 2024 </w:t>
        <w:tab/>
        <w:tab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tabs>
          <w:tab w:val="left" w:leader="none" w:pos="2127"/>
        </w:tabs>
        <w:spacing w:after="0" w:lineRule="auto"/>
        <w:ind w:hanging="2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IIT Delhi, IIT Bhilai, IIT Jodhpur, IIT Bombay, Nokia, Nokia Shanghai Bell, DoT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tabs>
          <w:tab w:val="left" w:leader="none" w:pos="2127"/>
        </w:tabs>
        <w:spacing w:after="0" w:lineRule="auto"/>
        <w:ind w:hanging="2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Key issue on Authentication and Authorization of Digital Identity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hanging="2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tabs>
          <w:tab w:val="left" w:leader="none" w:pos="2127"/>
        </w:tabs>
        <w:spacing w:after="0" w:lineRule="auto"/>
        <w:ind w:hanging="2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numPr>
          <w:ilvl w:val="0"/>
          <w:numId w:val="1"/>
        </w:numPr>
        <w:ind w:left="2" w:hanging="4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fff99" w:val="clear"/>
        <w:ind w:hanging="2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It is proposed to approve this Key issue to study potential solutions.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numPr>
          <w:ilvl w:val="0"/>
          <w:numId w:val="1"/>
        </w:numPr>
        <w:ind w:left="2" w:hanging="4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hanging="2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[1]</w:t>
        <w:tab/>
        <w:t xml:space="preserve">3GPP TR 23.700-32, Study on User Identities and Authentication Architecture..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hanging="2"/>
        <w:rPr>
          <w:color w:val="000000"/>
        </w:rPr>
      </w:pPr>
      <w:r w:rsidDel="00000000" w:rsidR="00000000" w:rsidRPr="00000000">
        <w:rPr>
          <w:color w:val="ff0000"/>
          <w:rtl w:val="0"/>
        </w:rPr>
        <w:t xml:space="preserve">[2]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numPr>
          <w:ilvl w:val="0"/>
          <w:numId w:val="1"/>
        </w:numPr>
        <w:ind w:left="2" w:hanging="4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0D">
      <w:pPr>
        <w:ind w:hanging="2"/>
        <w:rPr/>
      </w:pPr>
      <w:r w:rsidDel="00000000" w:rsidR="00000000" w:rsidRPr="00000000">
        <w:rPr>
          <w:rtl w:val="0"/>
        </w:rPr>
        <w:t xml:space="preserve">It is proposed to approve this key issue.</w:t>
      </w:r>
    </w:p>
    <w:p w:rsidR="00000000" w:rsidDel="00000000" w:rsidP="00000000" w:rsidRDefault="00000000" w:rsidRPr="00000000" w14:paraId="0000000E">
      <w:pPr>
        <w:pStyle w:val="Heading1"/>
        <w:numPr>
          <w:ilvl w:val="0"/>
          <w:numId w:val="1"/>
        </w:numPr>
        <w:ind w:left="2" w:hanging="4"/>
        <w:rPr/>
      </w:pPr>
      <w:r w:rsidDel="00000000" w:rsidR="00000000" w:rsidRPr="00000000">
        <w:rPr>
          <w:rtl w:val="0"/>
        </w:rPr>
        <w:t xml:space="preserve">4</w:t>
        <w:tab/>
        <w:t xml:space="preserve">Detailed proposal</w:t>
      </w:r>
    </w:p>
    <w:p w:rsidR="00000000" w:rsidDel="00000000" w:rsidP="00000000" w:rsidRDefault="00000000" w:rsidRPr="00000000" w14:paraId="0000000F">
      <w:pPr>
        <w:ind w:left="2" w:hanging="4"/>
        <w:jc w:val="center"/>
        <w:rPr/>
      </w:pPr>
      <w:r w:rsidDel="00000000" w:rsidR="00000000" w:rsidRPr="00000000">
        <w:rPr>
          <w:color w:val="0070c0"/>
          <w:sz w:val="44"/>
          <w:szCs w:val="44"/>
          <w:rtl w:val="0"/>
        </w:rPr>
        <w:t xml:space="preserve">***</w:t>
        <w:tab/>
        <w:t xml:space="preserve">BEGIN OF 1</w:t>
      </w:r>
      <w:r w:rsidDel="00000000" w:rsidR="00000000" w:rsidRPr="00000000">
        <w:rPr>
          <w:color w:val="0070c0"/>
          <w:sz w:val="44"/>
          <w:szCs w:val="44"/>
          <w:vertAlign w:val="superscript"/>
          <w:rtl w:val="0"/>
        </w:rPr>
        <w:t xml:space="preserve">st</w:t>
      </w:r>
      <w:r w:rsidDel="00000000" w:rsidR="00000000" w:rsidRPr="00000000">
        <w:rPr>
          <w:color w:val="0070c0"/>
          <w:sz w:val="44"/>
          <w:szCs w:val="44"/>
          <w:rtl w:val="0"/>
        </w:rPr>
        <w:t xml:space="preserve"> CHANGE</w:t>
        <w:tab/>
        <w:t xml:space="preserve">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2" w:hanging="4"/>
        <w:rPr>
          <w:color w:val="0070c0"/>
          <w:sz w:val="44"/>
          <w:szCs w:val="4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numPr>
          <w:ilvl w:val="1"/>
          <w:numId w:val="1"/>
        </w:numPr>
        <w:ind w:left="1" w:hanging="3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highlight w:val="yellow"/>
          <w:rtl w:val="0"/>
        </w:rPr>
        <w:t xml:space="preserve">X</w:t>
      </w:r>
      <w:r w:rsidDel="00000000" w:rsidR="00000000" w:rsidRPr="00000000">
        <w:rPr>
          <w:rtl w:val="0"/>
        </w:rPr>
        <w:tab/>
        <w:t xml:space="preserve">Key issue #</w:t>
      </w:r>
      <w:r w:rsidDel="00000000" w:rsidR="00000000" w:rsidRPr="00000000">
        <w:rPr>
          <w:highlight w:val="yellow"/>
          <w:rtl w:val="0"/>
        </w:rPr>
        <w:t xml:space="preserve">X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tl w:val="0"/>
        </w:rPr>
        <w:t xml:space="preserve">Authentication and Authorization of Digital Identity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numPr>
          <w:ilvl w:val="1"/>
          <w:numId w:val="1"/>
        </w:numPr>
        <w:ind w:left="0" w:firstLine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numPr>
          <w:ilvl w:val="2"/>
          <w:numId w:val="1"/>
        </w:numPr>
        <w:ind w:left="1" w:hanging="3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highlight w:val="yellow"/>
          <w:rtl w:val="0"/>
        </w:rPr>
        <w:t xml:space="preserve">X</w:t>
      </w:r>
      <w:r w:rsidDel="00000000" w:rsidR="00000000" w:rsidRPr="00000000">
        <w:rPr>
          <w:rtl w:val="0"/>
        </w:rPr>
        <w:t xml:space="preserve">.1</w:t>
        <w:tab/>
        <w:t xml:space="preserve">Key issue details </w:t>
      </w:r>
    </w:p>
    <w:p w:rsidR="00000000" w:rsidDel="00000000" w:rsidP="00000000" w:rsidRDefault="00000000" w:rsidRPr="00000000" w14:paraId="00000014">
      <w:pPr>
        <w:ind w:hanging="2"/>
        <w:jc w:val="both"/>
        <w:rPr/>
      </w:pPr>
      <w:r w:rsidDel="00000000" w:rsidR="00000000" w:rsidRPr="00000000">
        <w:rPr>
          <w:rtl w:val="0"/>
        </w:rPr>
        <w:t xml:space="preserve">SA2 has captured the issue of authentication and authorization of users and their restrictions in clause 5.2 of TR 23.700-32 [1]. Here in this KI, authentication, and authorization of digital identity is considered instead of user identity. Digital identity/avatar is associated with the subscriber (user). Authenticating a digital identity or avatar associated with a subscriber/user involves verifying that the digital representation corresponds to the actual person or entity it claims to represent. Authentication and authorization of digital identity, especially in non-IMS (Internet Protocol Multimedia Subsystem) based environments, can be achieved using various protocols, standards, and technologies.</w:t>
      </w:r>
    </w:p>
    <w:p w:rsidR="00000000" w:rsidDel="00000000" w:rsidP="00000000" w:rsidRDefault="00000000" w:rsidRPr="00000000" w14:paraId="00000015">
      <w:pPr>
        <w:ind w:hanging="2"/>
        <w:jc w:val="both"/>
        <w:rPr/>
      </w:pPr>
      <w:r w:rsidDel="00000000" w:rsidR="00000000" w:rsidRPr="00000000">
        <w:rPr>
          <w:rtl w:val="0"/>
        </w:rPr>
        <w:t xml:space="preserve">When dealing with authentication and authorization of digital identity in non-IMS (Internet Protocol Multimedia Subsystem) based environments, several potential threats and challenges should be considered. These threats can compromise the security and integrity of digital identity management systems.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hanging="2"/>
        <w:jc w:val="both"/>
        <w:rPr/>
      </w:pPr>
      <w:r w:rsidDel="00000000" w:rsidR="00000000" w:rsidRPr="00000000">
        <w:rPr>
          <w:rtl w:val="0"/>
        </w:rPr>
        <w:t xml:space="preserve">This key issue is to study how to authenticate and authorize the digital identity/avatar associated with the subscriber/user.</w:t>
      </w:r>
    </w:p>
    <w:p w:rsidR="00000000" w:rsidDel="00000000" w:rsidP="00000000" w:rsidRDefault="00000000" w:rsidRPr="00000000" w14:paraId="00000017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hanging="2"/>
        <w:jc w:val="both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numPr>
          <w:ilvl w:val="2"/>
          <w:numId w:val="1"/>
        </w:numPr>
        <w:ind w:left="1" w:hanging="3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highlight w:val="yellow"/>
          <w:rtl w:val="0"/>
        </w:rPr>
        <w:t xml:space="preserve">X</w:t>
      </w:r>
      <w:r w:rsidDel="00000000" w:rsidR="00000000" w:rsidRPr="00000000">
        <w:rPr>
          <w:rtl w:val="0"/>
        </w:rPr>
        <w:t xml:space="preserve">.2</w:t>
        <w:tab/>
        <w:t xml:space="preserve">Security Threats</w:t>
      </w:r>
    </w:p>
    <w:p w:rsidR="00000000" w:rsidDel="00000000" w:rsidP="00000000" w:rsidRDefault="00000000" w:rsidRPr="00000000" w14:paraId="0000001A">
      <w:pPr>
        <w:ind w:hanging="2"/>
        <w:jc w:val="both"/>
        <w:rPr/>
      </w:pPr>
      <w:r w:rsidDel="00000000" w:rsidR="00000000" w:rsidRPr="00000000">
        <w:rPr>
          <w:rtl w:val="0"/>
        </w:rPr>
        <w:t xml:space="preserve">In non-IMS-based environments, when dealing with authentication and authorization of digital identity, several potential threats and challenges should be considered. Some possible threats are: </w:t>
      </w:r>
      <w:r w:rsidDel="00000000" w:rsidR="00000000" w:rsidRPr="00000000">
        <w:rPr>
          <w:rtl w:val="0"/>
        </w:rPr>
        <w:t xml:space="preserve">phishing attacks, Man-in-the-Middle attacks, session hijacking, data breaches, etc.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hanging="2"/>
        <w:jc w:val="both"/>
        <w:rPr/>
      </w:pPr>
      <w:r w:rsidDel="00000000" w:rsidR="00000000" w:rsidRPr="00000000">
        <w:rPr>
          <w:rtl w:val="0"/>
        </w:rPr>
        <w:t xml:space="preserve">A malicious user can use digital identity belonging to other user or forged digital identity to access metaverse services, that may lead to spoofing and fraud threats.</w:t>
      </w:r>
    </w:p>
    <w:p w:rsidR="00000000" w:rsidDel="00000000" w:rsidP="00000000" w:rsidRDefault="00000000" w:rsidRPr="00000000" w14:paraId="0000001C">
      <w:pPr>
        <w:ind w:hanging="2"/>
        <w:jc w:val="both"/>
        <w:rPr/>
      </w:pPr>
      <w:r w:rsidDel="00000000" w:rsidR="00000000" w:rsidRPr="00000000">
        <w:rPr>
          <w:rtl w:val="0"/>
        </w:rPr>
        <w:t xml:space="preserve">An unauthorized user can access the Metaverse service, read and modify corresponding information without appropriate access control, that may lead to data breach, data damage and service interruption. </w:t>
      </w:r>
    </w:p>
    <w:p w:rsidR="00000000" w:rsidDel="00000000" w:rsidP="00000000" w:rsidRDefault="00000000" w:rsidRPr="00000000" w14:paraId="0000001D">
      <w:pPr>
        <w:ind w:hanging="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numPr>
          <w:ilvl w:val="2"/>
          <w:numId w:val="1"/>
        </w:numPr>
        <w:ind w:left="1" w:hanging="3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highlight w:val="yellow"/>
          <w:rtl w:val="0"/>
        </w:rPr>
        <w:t xml:space="preserve">X</w:t>
      </w:r>
      <w:r w:rsidDel="00000000" w:rsidR="00000000" w:rsidRPr="00000000">
        <w:rPr>
          <w:rtl w:val="0"/>
        </w:rPr>
        <w:t xml:space="preserve">.3</w:t>
        <w:tab/>
        <w:t xml:space="preserve">Potential security requirements </w:t>
      </w:r>
    </w:p>
    <w:p w:rsidR="00000000" w:rsidDel="00000000" w:rsidP="00000000" w:rsidRDefault="00000000" w:rsidRPr="00000000" w14:paraId="0000001F">
      <w:pPr>
        <w:ind w:hanging="2"/>
        <w:jc w:val="both"/>
        <w:rPr/>
      </w:pPr>
      <w:r w:rsidDel="00000000" w:rsidR="00000000" w:rsidRPr="00000000">
        <w:rPr>
          <w:rtl w:val="0"/>
        </w:rPr>
        <w:t xml:space="preserve">The 5G system shall support a mechanism to validate the authenticity of a digital identity/avatar associated with the subscriber (user).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hanging="2"/>
        <w:jc w:val="both"/>
        <w:rPr/>
      </w:pPr>
      <w:r w:rsidDel="00000000" w:rsidR="00000000" w:rsidRPr="00000000">
        <w:rPr>
          <w:rtl w:val="0"/>
        </w:rPr>
        <w:t xml:space="preserve">The 5G system shall support a mechanism to ensure appropriate authentication and authorization of digital identity/ avatar. </w:t>
      </w:r>
    </w:p>
    <w:p w:rsidR="00000000" w:rsidDel="00000000" w:rsidP="00000000" w:rsidRDefault="00000000" w:rsidRPr="00000000" w14:paraId="00000021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2" w:hanging="4"/>
        <w:jc w:val="center"/>
        <w:rPr/>
      </w:pPr>
      <w:r w:rsidDel="00000000" w:rsidR="00000000" w:rsidRPr="00000000">
        <w:rPr>
          <w:color w:val="0070c0"/>
          <w:sz w:val="44"/>
          <w:szCs w:val="44"/>
          <w:rtl w:val="0"/>
        </w:rPr>
        <w:t xml:space="preserve">***</w:t>
        <w:tab/>
        <w:t xml:space="preserve">END OF 1</w:t>
      </w:r>
      <w:r w:rsidDel="00000000" w:rsidR="00000000" w:rsidRPr="00000000">
        <w:rPr>
          <w:color w:val="0070c0"/>
          <w:sz w:val="44"/>
          <w:szCs w:val="44"/>
          <w:vertAlign w:val="superscript"/>
          <w:rtl w:val="0"/>
        </w:rPr>
        <w:t xml:space="preserve">st</w:t>
      </w:r>
      <w:r w:rsidDel="00000000" w:rsidR="00000000" w:rsidRPr="00000000">
        <w:rPr>
          <w:color w:val="0070c0"/>
          <w:sz w:val="44"/>
          <w:szCs w:val="44"/>
          <w:rtl w:val="0"/>
        </w:rPr>
        <w:t xml:space="preserve"> CHANGE</w:t>
        <w:tab/>
        <w:t xml:space="preserve">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2" w:hanging="4"/>
        <w:rPr>
          <w:color w:val="0070c0"/>
          <w:sz w:val="44"/>
          <w:szCs w:val="4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>
        <w:spacing w:after="180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color="000000" w:space="3" w:sz="12" w:val="singl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240"/>
      <w:ind w:left="1134" w:hanging="1134"/>
      <w:outlineLvl w:val="0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80"/>
      <w:ind w:left="1134" w:hanging="1134"/>
      <w:outlineLvl w:val="1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/>
      <w:ind w:left="1134" w:hanging="1134"/>
      <w:outlineLvl w:val="2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/>
      <w:ind w:left="1418" w:hanging="1418"/>
      <w:outlineLvl w:val="3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/>
      <w:ind w:left="1701" w:hanging="1701"/>
      <w:outlineLvl w:val="4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pacing w:before="120"/>
      <w:ind w:left="1985" w:hanging="1985"/>
      <w:outlineLvl w:val="5"/>
    </w:pPr>
    <w:rPr>
      <w:rFonts w:ascii="Arial" w:cs="Arial" w:eastAsia="Arial" w:hAnsi="Arial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spacing w:after="60"/>
      <w:jc w:val="center"/>
    </w:pPr>
    <w:rPr>
      <w:rFonts w:ascii="Calibri" w:cs="Calibri" w:eastAsia="Calibri" w:hAnsi="Calibri"/>
      <w:sz w:val="24"/>
      <w:szCs w:val="24"/>
    </w:rPr>
  </w:style>
  <w:style w:type="paragraph" w:styleId="Revision">
    <w:name w:val="Revision"/>
    <w:hidden w:val="1"/>
    <w:uiPriority w:val="99"/>
    <w:semiHidden w:val="1"/>
    <w:rsid w:val="00381501"/>
    <w:pPr>
      <w:spacing w:after="0"/>
      <w:ind w:firstLine="0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381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381501"/>
  </w:style>
  <w:style w:type="character" w:styleId="CommentTextChar" w:customStyle="1">
    <w:name w:val="Comment Text Char"/>
    <w:basedOn w:val="DefaultParagraphFont"/>
    <w:link w:val="CommentText"/>
    <w:uiPriority w:val="99"/>
    <w:rsid w:val="00381501"/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38150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381501"/>
    <w:rPr>
      <w:b w:val="1"/>
      <w:bCs w:val="1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libri" w:cs="Calibri" w:eastAsia="Calibri" w:hAnsi="Calibri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libri" w:cs="Calibri" w:eastAsia="Calibri" w:hAnsi="Calibri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2024-04-08T01:58:00Z</dcterms:created>
</cp:coreProperties>
</file>